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DBE7" w14:textId="4965029D" w:rsidR="00CF1172" w:rsidRPr="005665E2" w:rsidRDefault="00CF1172" w:rsidP="005665E2">
      <w:pPr>
        <w:spacing w:before="120" w:after="120"/>
        <w:rPr>
          <w:rFonts w:cs="Times New Roman"/>
          <w:b/>
          <w:bCs/>
          <w:szCs w:val="28"/>
        </w:rPr>
      </w:pPr>
      <w:r w:rsidRPr="005665E2">
        <w:rPr>
          <w:rFonts w:cs="Times New Roman"/>
          <w:b/>
          <w:bCs/>
          <w:szCs w:val="28"/>
        </w:rPr>
        <w:t>I. Giới thiệu chung</w:t>
      </w:r>
    </w:p>
    <w:p w14:paraId="656B0BC5" w14:textId="77777777" w:rsidR="00D0656B" w:rsidRPr="005665E2" w:rsidRDefault="00D0656B" w:rsidP="005665E2">
      <w:pPr>
        <w:pStyle w:val="NormalWeb"/>
        <w:shd w:val="clear" w:color="auto" w:fill="FFFFFF"/>
        <w:spacing w:before="120" w:beforeAutospacing="0" w:after="120" w:afterAutospacing="0"/>
        <w:jc w:val="both"/>
        <w:rPr>
          <w:color w:val="212529"/>
          <w:sz w:val="28"/>
          <w:szCs w:val="28"/>
        </w:rPr>
      </w:pPr>
      <w:r w:rsidRPr="005665E2">
        <w:rPr>
          <w:color w:val="212529"/>
          <w:sz w:val="28"/>
          <w:szCs w:val="28"/>
        </w:rPr>
        <w:t>Tên tổ chức: Thanh tra huyện </w:t>
      </w:r>
    </w:p>
    <w:p w14:paraId="56AF6260" w14:textId="77777777" w:rsidR="00D0656B" w:rsidRPr="005665E2" w:rsidRDefault="00D0656B" w:rsidP="005665E2">
      <w:pPr>
        <w:pStyle w:val="NormalWeb"/>
        <w:shd w:val="clear" w:color="auto" w:fill="FFFFFF"/>
        <w:spacing w:before="120" w:beforeAutospacing="0" w:after="120" w:afterAutospacing="0"/>
        <w:jc w:val="both"/>
        <w:rPr>
          <w:color w:val="212529"/>
          <w:sz w:val="28"/>
          <w:szCs w:val="28"/>
        </w:rPr>
      </w:pPr>
      <w:r w:rsidRPr="005665E2">
        <w:rPr>
          <w:color w:val="212529"/>
          <w:sz w:val="28"/>
          <w:szCs w:val="28"/>
        </w:rPr>
        <w:t>Địa chỉ: Thị trấn Đông Khê, huyện Thạch An, tỉnh Cao Bằng </w:t>
      </w:r>
    </w:p>
    <w:p w14:paraId="215DE69A" w14:textId="77777777" w:rsidR="00D0656B" w:rsidRPr="005665E2" w:rsidRDefault="00D0656B" w:rsidP="005665E2">
      <w:pPr>
        <w:pStyle w:val="NormalWeb"/>
        <w:shd w:val="clear" w:color="auto" w:fill="FFFFFF"/>
        <w:spacing w:before="120" w:beforeAutospacing="0" w:after="120" w:afterAutospacing="0"/>
        <w:jc w:val="both"/>
        <w:rPr>
          <w:color w:val="212529"/>
          <w:sz w:val="28"/>
          <w:szCs w:val="28"/>
        </w:rPr>
      </w:pPr>
      <w:r w:rsidRPr="005665E2">
        <w:rPr>
          <w:color w:val="212529"/>
          <w:sz w:val="28"/>
          <w:szCs w:val="28"/>
        </w:rPr>
        <w:t>Điện thoại liên hệ: 02063 840 182</w:t>
      </w:r>
    </w:p>
    <w:p w14:paraId="2A6460BD" w14:textId="77777777" w:rsidR="00D0656B" w:rsidRPr="005665E2" w:rsidRDefault="00D0656B" w:rsidP="005665E2">
      <w:pPr>
        <w:pStyle w:val="NormalWeb"/>
        <w:shd w:val="clear" w:color="auto" w:fill="FFFFFF"/>
        <w:spacing w:before="120" w:beforeAutospacing="0" w:after="120" w:afterAutospacing="0"/>
        <w:jc w:val="both"/>
        <w:rPr>
          <w:color w:val="212529"/>
          <w:sz w:val="28"/>
          <w:szCs w:val="28"/>
        </w:rPr>
      </w:pPr>
      <w:r w:rsidRPr="005665E2">
        <w:rPr>
          <w:color w:val="212529"/>
          <w:sz w:val="28"/>
          <w:szCs w:val="28"/>
        </w:rPr>
        <w:t>Email: thanhtratacb@gmail.com</w:t>
      </w:r>
    </w:p>
    <w:p w14:paraId="03CDB209" w14:textId="58A6B1C3" w:rsidR="00CF1172" w:rsidRPr="005665E2" w:rsidRDefault="00CF1172" w:rsidP="005665E2">
      <w:pPr>
        <w:spacing w:before="120" w:after="120"/>
        <w:rPr>
          <w:rStyle w:val="fontstyle21"/>
        </w:rPr>
      </w:pPr>
      <w:r w:rsidRPr="005665E2">
        <w:rPr>
          <w:rStyle w:val="Strong"/>
          <w:rFonts w:eastAsiaTheme="majorEastAsia" w:cs="Times New Roman"/>
          <w:color w:val="413333"/>
          <w:szCs w:val="28"/>
        </w:rPr>
        <w:t>II. Cơ cấu chức năng nhiệm vụ của phòng</w:t>
      </w:r>
      <w:r w:rsidRPr="005665E2">
        <w:rPr>
          <w:rStyle w:val="fontstyle21"/>
        </w:rPr>
        <w:t xml:space="preserve"> </w:t>
      </w:r>
    </w:p>
    <w:p w14:paraId="26858DFD" w14:textId="4427413F" w:rsidR="008B7473" w:rsidRPr="005665E2" w:rsidRDefault="00060268" w:rsidP="005665E2">
      <w:pPr>
        <w:spacing w:before="120" w:after="120"/>
        <w:rPr>
          <w:rFonts w:cs="Times New Roman"/>
          <w:szCs w:val="28"/>
        </w:rPr>
      </w:pPr>
      <w:r w:rsidRPr="005665E2">
        <w:rPr>
          <w:rStyle w:val="fontstyle01"/>
        </w:rPr>
        <w:t>*</w:t>
      </w:r>
      <w:r w:rsidR="008B7473" w:rsidRPr="005665E2">
        <w:rPr>
          <w:rStyle w:val="fontstyle01"/>
        </w:rPr>
        <w:t xml:space="preserve"> Vị trí và chức năng</w:t>
      </w:r>
    </w:p>
    <w:p w14:paraId="1045D34A" w14:textId="77777777" w:rsidR="00043975" w:rsidRPr="005665E2" w:rsidRDefault="00043975" w:rsidP="005665E2">
      <w:pPr>
        <w:shd w:val="clear" w:color="auto" w:fill="FFFFFF"/>
        <w:spacing w:before="120" w:after="120"/>
        <w:ind w:firstLine="720"/>
        <w:rPr>
          <w:rFonts w:cs="Times New Roman"/>
          <w:color w:val="000000"/>
          <w:szCs w:val="28"/>
        </w:rPr>
      </w:pPr>
      <w:r w:rsidRPr="005665E2">
        <w:rPr>
          <w:rFonts w:cs="Times New Roman"/>
          <w:color w:val="000000"/>
          <w:szCs w:val="28"/>
        </w:rPr>
        <w:t>1. Thanh tra huyện là cơ quan chuyên môn thuộc Ủy ban nhân dân huyện, giúp Ủy ban nhân dân huyện quản lý nhà nước về công tác thanh tra, tiếp công dân, giải quyết khiếu nại, tố cáo và phòng, chống tham nhũng, tiêu cực; thực hiện nhiệm vụ thanh tra trong phạm vi quản lý nhà nước của Ủy ban nhân dân huyện; thực hiện nhiệm vụ tiếp công dân, giải quyết khiếu nại, tố cáo và phòng, chống tham nhũng, tiêu cực theo quy định của pháp luật.</w:t>
      </w:r>
    </w:p>
    <w:p w14:paraId="61C77F85" w14:textId="77777777" w:rsidR="00043975" w:rsidRPr="005665E2" w:rsidRDefault="00043975" w:rsidP="005665E2">
      <w:pPr>
        <w:shd w:val="clear" w:color="auto" w:fill="FFFFFF"/>
        <w:spacing w:before="120" w:after="120"/>
        <w:ind w:firstLine="720"/>
        <w:rPr>
          <w:rFonts w:cs="Times New Roman"/>
          <w:color w:val="000000"/>
          <w:szCs w:val="28"/>
        </w:rPr>
      </w:pPr>
      <w:r w:rsidRPr="005665E2">
        <w:rPr>
          <w:rFonts w:cs="Times New Roman"/>
          <w:color w:val="000000"/>
          <w:szCs w:val="28"/>
        </w:rPr>
        <w:t>2. Thanh tra huyện có tư cách pháp nhân, có con dấu, tài khoản riêng; chịu sự chỉ đạo, điều hành của Chủ tịch Ủy ban nhân dân huyện và chịu sự chỉ đạo về công tác thanh tra, hướng dẫn nghiệp vụ của Thanh tra tỉnh.</w:t>
      </w:r>
    </w:p>
    <w:p w14:paraId="37FB2D9F" w14:textId="77777777" w:rsidR="00060268" w:rsidRPr="005665E2" w:rsidRDefault="00060268" w:rsidP="005665E2">
      <w:pPr>
        <w:shd w:val="clear" w:color="auto" w:fill="FFFFFF"/>
        <w:spacing w:before="120" w:after="120"/>
        <w:ind w:firstLine="720"/>
        <w:rPr>
          <w:rFonts w:eastAsia="Times New Roman" w:cs="Times New Roman"/>
          <w:b/>
          <w:bCs/>
          <w:color w:val="000000"/>
          <w:kern w:val="0"/>
          <w:szCs w:val="28"/>
          <w14:ligatures w14:val="none"/>
        </w:rPr>
      </w:pPr>
      <w:r w:rsidRPr="005665E2">
        <w:rPr>
          <w:rFonts w:eastAsia="Times New Roman" w:cs="Times New Roman"/>
          <w:b/>
          <w:bCs/>
          <w:color w:val="000000"/>
          <w:kern w:val="0"/>
          <w:szCs w:val="28"/>
          <w14:ligatures w14:val="none"/>
        </w:rPr>
        <w:t>*</w:t>
      </w:r>
      <w:r w:rsidR="000245D1" w:rsidRPr="005665E2">
        <w:rPr>
          <w:rFonts w:eastAsia="Times New Roman" w:cs="Times New Roman"/>
          <w:b/>
          <w:bCs/>
          <w:color w:val="000000"/>
          <w:kern w:val="0"/>
          <w:szCs w:val="28"/>
          <w14:ligatures w14:val="none"/>
        </w:rPr>
        <w:t>Nhiệm vụ và quyền hạn</w:t>
      </w:r>
    </w:p>
    <w:p w14:paraId="0C90BA8C" w14:textId="3A11F9B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Thanh tra huyện thực hiện nhiệm vụ, quyền hạn theo quy định của pháp luật về thanh tra, tiếp công dân, giải quyết khiếu nại, tố cáo, phòng, chống tham nhũng, tiêu cực và các nhiệm vụ, quyền hạn cụ thể sau:</w:t>
      </w:r>
    </w:p>
    <w:p w14:paraId="27514223"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1. Trình Ủy ban nhân dân huyện:</w:t>
      </w:r>
    </w:p>
    <w:p w14:paraId="7362F1CF"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a) Dự thảo quyết định và các văn bản khác về công tác thanh tra, tiếp công dân, giải quyết khiếu nại, tố cáo và phòng, chống tham nhũng, tiêu cực; dự thảo văn bản quy định chức năng, nhiệm vụ, quyền hạn và cơ cấu tổ chức của Thanh tra huyện;</w:t>
      </w:r>
    </w:p>
    <w:p w14:paraId="35E37BC6"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b) Dự thảo chương trình, kế hoạch tổ chức thực hiện các nhiệm vụ về thanh tra, tiếp công dân, giải quyết khiếu nại, tố cáo và phòng, chống tham nhũng, tiêu cực; dự thảo các văn bản khác khi được giao.</w:t>
      </w:r>
    </w:p>
    <w:p w14:paraId="73103238"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2. Trình Chủ tịch Ủy ban nhân dân huyện dự thảo các văn bản về thanh tra, tiếp công dân, giải quyết khiếu nại, tố cáo và phòng, chống tham nhũng, tiêu cực thuộc thẩm quyền ban hành của Chủ tịch Ủy ban nhân dân huyện khi được giao.</w:t>
      </w:r>
    </w:p>
    <w:p w14:paraId="4F637FA2"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3. Tổ chức thực hiện các văn bản quy phạm pháp luật, chương trình, kế hoạch và các văn bản về thanh tra, tiếp công dân, xử lý đơn, khiếu nại, tố cáo, phòng, chống tham nhũng, tiêu cực; hướng dẫn chuyên môn, nghiệp vụ về công tác thanh tra, tiếp công dân, xử lý đơn, giải quyết khiếu nại, tố cáo, phòng, chống tham nhũng, tiêu cực cho các cơ quan, tổ chức, đơn vị thuộc Ủy ban nhân dân huyện và cán bộ, công chức xã.</w:t>
      </w:r>
    </w:p>
    <w:p w14:paraId="37245C45"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lastRenderedPageBreak/>
        <w:t>4. Tuyên truyền, phổ biến, giáo dục pháp luật về thanh tra, tiếp công dân, giải quyết khiếu nại, tố cáo và phòng, chống tham nhũng, tiêu cực.</w:t>
      </w:r>
    </w:p>
    <w:p w14:paraId="08F4848F"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5. Hướng dẫn, kiểm tra, đôn đốc Chủ tịch Ủy ban nhân dân xã, Thủ trưởng cơ quan chuyên môn thuộc Ủy ban nhân dân huyện trong việc thực hiện pháp luật về thanh tra, tiếp công dân, giải quyết khiếu nại, tố cáo và phòng, chống tham nhũng, tiêu cực.</w:t>
      </w:r>
    </w:p>
    <w:p w14:paraId="278E0BFC"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6. Về thanh tra:</w:t>
      </w:r>
    </w:p>
    <w:p w14:paraId="0F6E9891"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a) Xây dựng dự thảo kế hoạch thanh tra của Thanh tra huyện, báo cáo Chủ tịch Ủy ban nhân dân huyện xem xét, quyết định trước khi gửi Thanh tra tỉnh tổng hợp vào kế hoạch thanh tra của tỉnh;</w:t>
      </w:r>
    </w:p>
    <w:p w14:paraId="20DFBA3C"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b) Tổ chức thực hiện nhiệm vụ của Thanh tra huyện trong kế hoạch thanh tra của tỉnh; thanh tra việc thực hiện chính sách, pháp luật và nhiệm vụ, quyền hạn của cơ quan chuyên môn thuộc Ủy ban nhân dân huyện và của Ủy ban nhân dân xã; thanh tra vụ việc khác khi được Chủ tịch Ủy ban nhân dân huyện giao;</w:t>
      </w:r>
    </w:p>
    <w:p w14:paraId="41F8552E"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c) Theo dõi, đôn đốc, kiểm tra việc thực hiện kết luận, kiến nghị của Thanh tra huyện và quyết định xử lý về thanh tra của Chủ tịch Ủy ban nhân dân huyện.</w:t>
      </w:r>
    </w:p>
    <w:p w14:paraId="6EE8A731"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7. Về tiếp công dân, giải quyết khiếu nại, tố cáo:</w:t>
      </w:r>
    </w:p>
    <w:p w14:paraId="6E62E8B3"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a) Hướng dẫn Ủy ban nhân dân xã và các cơ quan, tổ chức, đơn vị thuộc quyền quản lý của Ủy ban nhân dân huyện thực hiện việc tiếp công dân, xử lý đơn khiếu nại, tố cáo và giải quyết khiếu nại, tố cáo;</w:t>
      </w:r>
    </w:p>
    <w:p w14:paraId="63861C6D"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b) Thanh tra trách nhiệm thực hiện pháp luật về tiếp công dân, khiếu nại, tố cáo đối với phòng, ban chuyên môn thuộc Ủy ban nhân dân huyện, Ủy ban nhân dân xã, đơn vị sự nghiệp công lập, đơn vị khác thuộc Ủy ban nhân dân huyện theo quy định của pháp luật; kiến nghị các biện pháp tăng cường công tác giải quyết khiếu nại, tố cáo thuộc phạm vi quản lý của Chủ tịch Ủy ban nhân huyện;</w:t>
      </w:r>
    </w:p>
    <w:p w14:paraId="2AFD761D"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c) Xác minh, báo cáo kết quả xác minh và kiến nghị biện pháp giải quyết vụ việc khiếu nại, tố cáo thuộc thẩm quyền của Chủ tịch Ủy ban nhân dân huyện khi được giao;</w:t>
      </w:r>
    </w:p>
    <w:p w14:paraId="58A8FB51"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d) Theo dõi, đôn đốc, kiểm tra các cơ quan thuộc quyền quản lý của Chủ tịch Ủy ban nhân dân huyện trong việc giải quyết khiếu nại; kiến nghị Chủ tịch Ủy ban nhân dân huyện hoặc kiến nghị người có thẩm quyền áp dụng biện pháp cần thiết để chấm dứt vi phạm, xem xét trách nhiệm, xử lý đối với người có hành vi vi phạm pháp luật về khiếu nại;</w:t>
      </w:r>
    </w:p>
    <w:p w14:paraId="65BE48E3"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đ) Xem xét việc giải quyết tố cáo mà Chủ tịch Ủy ban nhân dân xã và Thủ trưởng các cơ quan chuyên môn thuộc Ủy ban nhân dân huyện đã giải quyết nhưng có dấu hiệu vi phạm pháp luật; trường hợp có căn cứ cho rằng việc giải quyết tố cáo có vi phạm pháp luật thì kiến nghị Chủ tịch Ủy ban nhân dân huyện xem xét, giải quyết lại theo quy định;</w:t>
      </w:r>
    </w:p>
    <w:p w14:paraId="4FFF0CF9"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lastRenderedPageBreak/>
        <w:t>e) Theo dõi, đôn đốc, kiểm tra việc thực hiện các quyết định giải quyết khiếu nại, kết luận nội dung tố cáo, quyết định xử lý tố cáo của Chủ tịch Ủy ban nhân dân huyện khi được giao;</w:t>
      </w:r>
    </w:p>
    <w:p w14:paraId="06A18480"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g) Tiếp nhận, xử lý đơn; giải quyết khiếu nại, tố cáo thuộc thẩm quyền theo quy định của pháp luật.</w:t>
      </w:r>
    </w:p>
    <w:p w14:paraId="7D64E662"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8. Về phòng, chống tham nhũng, tiêu cực:</w:t>
      </w:r>
    </w:p>
    <w:p w14:paraId="22E72D2C"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a) Giúp Ủy ban nhân dân huyện quản lý nhà nước về công tác phòng, chống tham nhũng, tiêu cực; thực hiện nhiệm vụ, quyền hạn trong công tác phòng, chống tham nhũng, tiêu cực theo quy định của pháp luật;</w:t>
      </w:r>
    </w:p>
    <w:p w14:paraId="19BCB64C"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b) Phối hợp với Kiểm toán nhà nước, Cơ quan điều tra, Viện kiểm sát nhân dân, Tòa án nhân dân trong việc phòng ngừa, phát hiện, ngăn chặn và xử lý tham nhũng, tiêu cực;</w:t>
      </w:r>
    </w:p>
    <w:p w14:paraId="77AA35C2"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c) Kiểm tra, giám sát nội bộ nhằm ngăn chặn hành vi tham nhũng, tiêu cực trong hoạt động của Thanh tra huyện.</w:t>
      </w:r>
    </w:p>
    <w:p w14:paraId="57DD3D80"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9. Trong quá trình thực hiện nhiệm vụ thanh tra, tiếp công dân, giải quyết khiếu nại, tố cáo và phòng, chống tham nhũng, tiêu cực được thực hiện quyền hạn của Thanh tra huyện theo quy định của pháp luật; được yêu cầu cơ quan, đơn vị có liên quan cử công chức, viên chức tham gia các Đoàn thanh tra, giải quyết khiếu nại, tố cáo.</w:t>
      </w:r>
    </w:p>
    <w:p w14:paraId="5D8D323D"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10. Tổ chức ứng dụng tiến bộ khoa học, công nghệ; xây dựng hệ thống thông tin, lưu trữ phục vụ công tác quản lý nhà nước và chuyên môn, nghiệp vụ của Thanh tra huyện.</w:t>
      </w:r>
    </w:p>
    <w:p w14:paraId="0CCD26BB"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11. Tổng hợp, thông tin, báo cáo kết quả công tác thanh tra, tiếp công dân, giải quyết khiếu nại, tố cáo, phòng, chống tham nhũng, tiêu cực theo quy định của Ủy ban nhân dân huyện và Thanh tra tỉnh.</w:t>
      </w:r>
    </w:p>
    <w:p w14:paraId="35537BDF"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12. Quản lý biên chế, công chức, thực hiện các chế độ, chính sách, chế độ đãi ngộ, khen thưởng, kỷ luật đối với công chức thuộc phạm vi quản lý của Thanh tra huyện theo quy định của pháp luật và theo phân cấp của Ủy ban nhân dân huyện.</w:t>
      </w:r>
    </w:p>
    <w:p w14:paraId="5EC3ECBB"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13. Quản lý, sử dụng tài chính, tài sản được giao theo quy định của pháp luật và phân cấp của Ủy ban nhân dân huyện.</w:t>
      </w:r>
    </w:p>
    <w:p w14:paraId="1D5DB028" w14:textId="77777777" w:rsidR="00060268" w:rsidRPr="005665E2" w:rsidRDefault="00060268" w:rsidP="005665E2">
      <w:pPr>
        <w:shd w:val="clear" w:color="auto" w:fill="FFFFFF"/>
        <w:spacing w:before="120" w:after="120"/>
        <w:ind w:firstLine="720"/>
        <w:rPr>
          <w:rFonts w:cs="Times New Roman"/>
          <w:color w:val="000000"/>
          <w:szCs w:val="28"/>
        </w:rPr>
      </w:pPr>
      <w:r w:rsidRPr="005665E2">
        <w:rPr>
          <w:rFonts w:cs="Times New Roman"/>
          <w:color w:val="000000"/>
          <w:szCs w:val="28"/>
        </w:rPr>
        <w:t>14. Thực hiện nhiệm vụ khác do Ủy ban nhân dân huyện giao và theo quy định của pháp luật.</w:t>
      </w:r>
    </w:p>
    <w:p w14:paraId="03D7CEA8" w14:textId="0CA9A8E1" w:rsidR="000245D1" w:rsidRPr="005665E2" w:rsidRDefault="000245D1" w:rsidP="005665E2">
      <w:pPr>
        <w:spacing w:before="120" w:after="120"/>
        <w:rPr>
          <w:rFonts w:cs="Times New Roman"/>
          <w:b/>
          <w:bCs/>
          <w:color w:val="000000"/>
          <w:szCs w:val="28"/>
        </w:rPr>
      </w:pPr>
      <w:r w:rsidRPr="005665E2">
        <w:rPr>
          <w:rFonts w:cs="Times New Roman"/>
          <w:b/>
          <w:bCs/>
          <w:color w:val="000000"/>
          <w:szCs w:val="28"/>
        </w:rPr>
        <w:t>III. Tổ chức bộ máy</w:t>
      </w:r>
    </w:p>
    <w:tbl>
      <w:tblPr>
        <w:tblW w:w="9075"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35"/>
        <w:gridCol w:w="1981"/>
        <w:gridCol w:w="1703"/>
        <w:gridCol w:w="1612"/>
        <w:gridCol w:w="3344"/>
      </w:tblGrid>
      <w:tr w:rsidR="00D0656B" w:rsidRPr="00D0656B" w14:paraId="66EF805C" w14:textId="77777777" w:rsidTr="00E5554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F1FB43A" w14:textId="48D77DCA" w:rsidR="00D0656B" w:rsidRPr="00D0656B" w:rsidRDefault="00D0656B" w:rsidP="00E5554A">
            <w:pPr>
              <w:spacing w:before="120" w:after="120"/>
              <w:jc w:val="center"/>
              <w:rPr>
                <w:rFonts w:cs="Times New Roman"/>
                <w:b/>
                <w:bCs/>
                <w:color w:val="000000"/>
                <w:szCs w:val="28"/>
              </w:rPr>
            </w:pPr>
            <w:r w:rsidRPr="00D0656B">
              <w:rPr>
                <w:rFonts w:cs="Times New Roman"/>
                <w:b/>
                <w:bCs/>
                <w:color w:val="000000"/>
                <w:szCs w:val="28"/>
              </w:rPr>
              <w:t>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E51FF3E" w14:textId="77777777" w:rsidR="00D0656B" w:rsidRPr="00D0656B" w:rsidRDefault="00D0656B" w:rsidP="00E5554A">
            <w:pPr>
              <w:spacing w:before="120" w:after="120"/>
              <w:jc w:val="center"/>
              <w:rPr>
                <w:rFonts w:cs="Times New Roman"/>
                <w:b/>
                <w:bCs/>
                <w:color w:val="000000"/>
                <w:szCs w:val="28"/>
              </w:rPr>
            </w:pPr>
            <w:r w:rsidRPr="00D0656B">
              <w:rPr>
                <w:rFonts w:cs="Times New Roman"/>
                <w:b/>
                <w:bCs/>
                <w:color w:val="000000"/>
                <w:szCs w:val="28"/>
              </w:rPr>
              <w:t>Họ và Tên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AB9D620" w14:textId="77777777" w:rsidR="00D0656B" w:rsidRPr="00D0656B" w:rsidRDefault="00D0656B" w:rsidP="00E5554A">
            <w:pPr>
              <w:spacing w:before="120" w:after="120"/>
              <w:jc w:val="center"/>
              <w:rPr>
                <w:rFonts w:cs="Times New Roman"/>
                <w:b/>
                <w:bCs/>
                <w:color w:val="000000"/>
                <w:szCs w:val="28"/>
              </w:rPr>
            </w:pPr>
            <w:r w:rsidRPr="00D0656B">
              <w:rPr>
                <w:rFonts w:cs="Times New Roman"/>
                <w:b/>
                <w:bCs/>
                <w:color w:val="000000"/>
                <w:szCs w:val="28"/>
              </w:rPr>
              <w:t>Chức danh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65852FC" w14:textId="0E018B4C" w:rsidR="00D0656B" w:rsidRPr="00D0656B" w:rsidRDefault="00D0656B" w:rsidP="00E5554A">
            <w:pPr>
              <w:spacing w:before="120" w:after="120"/>
              <w:jc w:val="center"/>
              <w:rPr>
                <w:rFonts w:cs="Times New Roman"/>
                <w:b/>
                <w:bCs/>
                <w:color w:val="000000"/>
                <w:szCs w:val="28"/>
              </w:rPr>
            </w:pPr>
            <w:r w:rsidRPr="00D0656B">
              <w:rPr>
                <w:rFonts w:cs="Times New Roman"/>
                <w:b/>
                <w:bCs/>
                <w:color w:val="000000"/>
                <w:szCs w:val="28"/>
              </w:rPr>
              <w:t>Số điện thoại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5743A5A" w14:textId="6C499F13" w:rsidR="00D0656B" w:rsidRPr="00D0656B" w:rsidRDefault="00D0656B" w:rsidP="00E5554A">
            <w:pPr>
              <w:spacing w:before="120" w:after="120"/>
              <w:jc w:val="center"/>
              <w:rPr>
                <w:rFonts w:cs="Times New Roman"/>
                <w:b/>
                <w:bCs/>
                <w:color w:val="000000"/>
                <w:szCs w:val="28"/>
                <w:highlight w:val="yellow"/>
              </w:rPr>
            </w:pPr>
            <w:r w:rsidRPr="00E5554A">
              <w:rPr>
                <w:rFonts w:cs="Times New Roman"/>
                <w:b/>
                <w:bCs/>
                <w:color w:val="000000"/>
                <w:szCs w:val="28"/>
              </w:rPr>
              <w:t>Địa chỉ email</w:t>
            </w:r>
          </w:p>
        </w:tc>
      </w:tr>
      <w:tr w:rsidR="00D0656B" w:rsidRPr="00D0656B" w14:paraId="1D173EBF" w14:textId="77777777" w:rsidTr="00E5554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D1C3852"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EA94EAD" w14:textId="5F688C25"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Triệu Thanh Long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03BEEC2" w14:textId="48D5452D"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Chánh Thanh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6434CE2"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02063840182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EE97416" w14:textId="1F73C8A2" w:rsidR="00D0656B" w:rsidRPr="00D0656B" w:rsidRDefault="00E5554A" w:rsidP="00E5554A">
            <w:pPr>
              <w:spacing w:before="120" w:after="120"/>
              <w:jc w:val="center"/>
              <w:rPr>
                <w:rFonts w:cs="Times New Roman"/>
                <w:color w:val="000000"/>
                <w:szCs w:val="28"/>
                <w:highlight w:val="yellow"/>
              </w:rPr>
            </w:pPr>
            <w:r w:rsidRPr="00E5554A">
              <w:rPr>
                <w:rFonts w:cs="Times New Roman"/>
                <w:color w:val="000000"/>
                <w:szCs w:val="28"/>
              </w:rPr>
              <w:t>Longtt.tan@caobang.gov.vn</w:t>
            </w:r>
          </w:p>
        </w:tc>
      </w:tr>
      <w:tr w:rsidR="00D0656B" w:rsidRPr="00D0656B" w14:paraId="5EC0372F" w14:textId="77777777" w:rsidTr="00E5554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FCED531"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CD58E4B" w14:textId="797C78B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Nguyễn Thùy Dung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7C0B6C1" w14:textId="0B77EEE6" w:rsidR="00D0656B" w:rsidRPr="00D0656B" w:rsidRDefault="00E5554A" w:rsidP="00E5554A">
            <w:pPr>
              <w:spacing w:before="120" w:after="120"/>
              <w:jc w:val="center"/>
              <w:rPr>
                <w:rFonts w:cs="Times New Roman"/>
                <w:color w:val="000000"/>
                <w:szCs w:val="28"/>
              </w:rPr>
            </w:pPr>
            <w:r>
              <w:rPr>
                <w:rFonts w:cs="Times New Roman"/>
                <w:color w:val="000000"/>
                <w:szCs w:val="28"/>
              </w:rPr>
              <w:t>Thanh tra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72FC5FC"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0911 021 928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ECB0D0B" w14:textId="06929158" w:rsidR="00D0656B" w:rsidRPr="00D0656B" w:rsidRDefault="00E5554A" w:rsidP="00E5554A">
            <w:pPr>
              <w:spacing w:before="120" w:after="120"/>
              <w:jc w:val="center"/>
              <w:rPr>
                <w:rFonts w:cs="Times New Roman"/>
                <w:color w:val="000000"/>
                <w:szCs w:val="28"/>
                <w:highlight w:val="yellow"/>
              </w:rPr>
            </w:pPr>
            <w:r>
              <w:rPr>
                <w:rFonts w:cs="Times New Roman"/>
                <w:color w:val="000000"/>
                <w:szCs w:val="28"/>
              </w:rPr>
              <w:t>Dungnt.tan@caobang.gov.vn</w:t>
            </w:r>
          </w:p>
        </w:tc>
      </w:tr>
      <w:tr w:rsidR="00D0656B" w:rsidRPr="00D0656B" w14:paraId="162ED19F" w14:textId="77777777" w:rsidTr="00E5554A">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11FE43"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054114E"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Lý Mùi Chuổng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428A351" w14:textId="77777777" w:rsidR="00D0656B" w:rsidRPr="00D0656B" w:rsidRDefault="00D0656B" w:rsidP="00E5554A">
            <w:pPr>
              <w:spacing w:before="120" w:after="120"/>
              <w:jc w:val="center"/>
              <w:rPr>
                <w:rFonts w:cs="Times New Roman"/>
                <w:color w:val="000000"/>
                <w:szCs w:val="28"/>
              </w:rPr>
            </w:pPr>
            <w:r w:rsidRPr="00D0656B">
              <w:rPr>
                <w:rFonts w:cs="Times New Roman"/>
                <w:color w:val="000000"/>
                <w:szCs w:val="28"/>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60E4D4A" w14:textId="77777777" w:rsidR="00D0656B" w:rsidRPr="00E5554A" w:rsidRDefault="00D0656B" w:rsidP="00E5554A">
            <w:pPr>
              <w:spacing w:before="120" w:after="120"/>
              <w:jc w:val="center"/>
              <w:rPr>
                <w:rFonts w:cs="Times New Roman"/>
                <w:color w:val="000000"/>
                <w:szCs w:val="28"/>
              </w:rPr>
            </w:pPr>
            <w:r w:rsidRPr="00E5554A">
              <w:rPr>
                <w:rFonts w:cs="Times New Roman"/>
                <w:color w:val="000000"/>
                <w:szCs w:val="28"/>
              </w:rPr>
              <w:t>0378 088 518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DB7FB40" w14:textId="17C565D6" w:rsidR="00D0656B" w:rsidRPr="00E5554A" w:rsidRDefault="00E5554A" w:rsidP="00E5554A">
            <w:pPr>
              <w:spacing w:before="120" w:after="120"/>
              <w:jc w:val="center"/>
              <w:rPr>
                <w:rFonts w:cs="Times New Roman"/>
                <w:color w:val="000000"/>
                <w:szCs w:val="28"/>
              </w:rPr>
            </w:pPr>
            <w:r>
              <w:rPr>
                <w:rFonts w:cs="Times New Roman"/>
                <w:color w:val="000000"/>
                <w:szCs w:val="28"/>
              </w:rPr>
              <w:t>Lymuichuong97@gmail.com</w:t>
            </w:r>
            <w:bookmarkStart w:id="0" w:name="_GoBack"/>
            <w:bookmarkEnd w:id="0"/>
          </w:p>
        </w:tc>
      </w:tr>
    </w:tbl>
    <w:p w14:paraId="06FB8898" w14:textId="77777777" w:rsidR="00D0656B" w:rsidRPr="005665E2" w:rsidRDefault="00D0656B" w:rsidP="005665E2">
      <w:pPr>
        <w:spacing w:before="120" w:after="120"/>
        <w:rPr>
          <w:rFonts w:cs="Times New Roman"/>
          <w:b/>
          <w:bCs/>
          <w:color w:val="000000"/>
          <w:szCs w:val="28"/>
        </w:rPr>
      </w:pPr>
    </w:p>
    <w:sectPr w:rsidR="00D0656B" w:rsidRPr="005665E2" w:rsidSect="00B53A89">
      <w:pgSz w:w="11907" w:h="16840" w:code="9"/>
      <w:pgMar w:top="1134" w:right="1134" w:bottom="1134" w:left="170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DE"/>
    <w:rsid w:val="000245D1"/>
    <w:rsid w:val="00043975"/>
    <w:rsid w:val="00060268"/>
    <w:rsid w:val="000F0827"/>
    <w:rsid w:val="001A3FCE"/>
    <w:rsid w:val="001C37CB"/>
    <w:rsid w:val="00250AB3"/>
    <w:rsid w:val="002A43CF"/>
    <w:rsid w:val="00304A90"/>
    <w:rsid w:val="00465013"/>
    <w:rsid w:val="005665E2"/>
    <w:rsid w:val="007B553D"/>
    <w:rsid w:val="008A4DFA"/>
    <w:rsid w:val="008B7473"/>
    <w:rsid w:val="008C491E"/>
    <w:rsid w:val="00B53A89"/>
    <w:rsid w:val="00CF1172"/>
    <w:rsid w:val="00D0656B"/>
    <w:rsid w:val="00DA3B18"/>
    <w:rsid w:val="00DE19BC"/>
    <w:rsid w:val="00E5554A"/>
    <w:rsid w:val="00F404DE"/>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semiHidden/>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semiHidden/>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1998">
      <w:bodyDiv w:val="1"/>
      <w:marLeft w:val="0"/>
      <w:marRight w:val="0"/>
      <w:marTop w:val="0"/>
      <w:marBottom w:val="0"/>
      <w:divBdr>
        <w:top w:val="none" w:sz="0" w:space="0" w:color="auto"/>
        <w:left w:val="none" w:sz="0" w:space="0" w:color="auto"/>
        <w:bottom w:val="none" w:sz="0" w:space="0" w:color="auto"/>
        <w:right w:val="none" w:sz="0" w:space="0" w:color="auto"/>
      </w:divBdr>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1277060496">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34726006">
      <w:bodyDiv w:val="1"/>
      <w:marLeft w:val="0"/>
      <w:marRight w:val="0"/>
      <w:marTop w:val="0"/>
      <w:marBottom w:val="0"/>
      <w:divBdr>
        <w:top w:val="none" w:sz="0" w:space="0" w:color="auto"/>
        <w:left w:val="none" w:sz="0" w:space="0" w:color="auto"/>
        <w:bottom w:val="none" w:sz="0" w:space="0" w:color="auto"/>
        <w:right w:val="none" w:sz="0" w:space="0" w:color="auto"/>
      </w:divBdr>
    </w:div>
    <w:div w:id="1472482287">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1044</Words>
  <Characters>5953</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2024-12-20T01:36:00Z</dcterms:created>
  <dcterms:modified xsi:type="dcterms:W3CDTF">2024-12-20T01:43:00Z</dcterms:modified>
</cp:coreProperties>
</file>